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EC4E" w14:textId="1B68C873" w:rsidR="00EB0998" w:rsidRPr="00F07658" w:rsidRDefault="00EB0998" w:rsidP="000B0554">
      <w:pPr>
        <w:jc w:val="both"/>
        <w:rPr>
          <w:rFonts w:ascii="Calibri" w:hAnsi="Calibri" w:cs="Calibri"/>
          <w:b/>
          <w:bCs/>
          <w:sz w:val="24"/>
          <w:szCs w:val="24"/>
          <w:u w:val="single"/>
        </w:rPr>
      </w:pPr>
      <w:r w:rsidRPr="00F07658">
        <w:rPr>
          <w:rFonts w:ascii="Calibri" w:hAnsi="Calibri" w:cs="Calibri"/>
          <w:b/>
          <w:bCs/>
          <w:sz w:val="24"/>
          <w:szCs w:val="24"/>
          <w:u w:val="single"/>
        </w:rPr>
        <w:t>Clinical Director</w:t>
      </w:r>
    </w:p>
    <w:p w14:paraId="39CD432E" w14:textId="77777777" w:rsidR="00EB0998" w:rsidRPr="00EB0998" w:rsidRDefault="00EB0998" w:rsidP="000B0554">
      <w:pPr>
        <w:jc w:val="both"/>
        <w:rPr>
          <w:rFonts w:ascii="Calibri" w:hAnsi="Calibri" w:cs="Calibri"/>
          <w:sz w:val="24"/>
          <w:szCs w:val="24"/>
        </w:rPr>
      </w:pPr>
      <w:r w:rsidRPr="00EB0998">
        <w:rPr>
          <w:rFonts w:ascii="Calibri" w:hAnsi="Calibri" w:cs="Calibri"/>
          <w:b/>
          <w:bCs/>
          <w:sz w:val="24"/>
          <w:szCs w:val="24"/>
        </w:rPr>
        <w:t>Sickle Cell Children and Young People’s Peer Mentoring Programme – London</w:t>
      </w:r>
    </w:p>
    <w:p w14:paraId="12970332" w14:textId="1DDEA2F2" w:rsidR="00EB0998" w:rsidRPr="00EB0998" w:rsidRDefault="00EB0998" w:rsidP="000B0554">
      <w:pPr>
        <w:jc w:val="both"/>
        <w:rPr>
          <w:rFonts w:ascii="Calibri" w:hAnsi="Calibri" w:cs="Calibri"/>
          <w:b/>
          <w:bCs/>
          <w:sz w:val="24"/>
          <w:szCs w:val="24"/>
        </w:rPr>
      </w:pPr>
      <w:r w:rsidRPr="00EB0998">
        <w:rPr>
          <w:rFonts w:ascii="Calibri" w:hAnsi="Calibri" w:cs="Calibri"/>
          <w:b/>
          <w:bCs/>
          <w:sz w:val="24"/>
          <w:szCs w:val="24"/>
        </w:rPr>
        <w:t>About the Role:</w:t>
      </w:r>
    </w:p>
    <w:p w14:paraId="46625394" w14:textId="77777777" w:rsidR="00EB0998" w:rsidRPr="00EB0998" w:rsidRDefault="00EB0998" w:rsidP="000B0554">
      <w:pPr>
        <w:jc w:val="both"/>
        <w:rPr>
          <w:rFonts w:ascii="Calibri" w:hAnsi="Calibri" w:cs="Calibri"/>
          <w:sz w:val="24"/>
          <w:szCs w:val="24"/>
        </w:rPr>
      </w:pPr>
      <w:r w:rsidRPr="00EB0998">
        <w:rPr>
          <w:rFonts w:ascii="Calibri" w:hAnsi="Calibri" w:cs="Calibri"/>
          <w:sz w:val="24"/>
          <w:szCs w:val="24"/>
        </w:rPr>
        <w:t xml:space="preserve">The Sickle Cell Society is seeking an experienced clinical professional to take on the role of </w:t>
      </w:r>
      <w:r w:rsidRPr="00EB0998">
        <w:rPr>
          <w:rFonts w:ascii="Calibri" w:hAnsi="Calibri" w:cs="Calibri"/>
          <w:b/>
          <w:bCs/>
          <w:sz w:val="24"/>
          <w:szCs w:val="24"/>
        </w:rPr>
        <w:t>Clinical Director</w:t>
      </w:r>
      <w:r w:rsidRPr="00EB0998">
        <w:rPr>
          <w:rFonts w:ascii="Calibri" w:hAnsi="Calibri" w:cs="Calibri"/>
          <w:sz w:val="24"/>
          <w:szCs w:val="24"/>
        </w:rPr>
        <w:t xml:space="preserve"> for the Children and Young People’s Peer Mentoring Programme.</w:t>
      </w:r>
    </w:p>
    <w:p w14:paraId="452D3A5E" w14:textId="77777777" w:rsidR="00EB0998" w:rsidRPr="00EB0998" w:rsidRDefault="00EB0998" w:rsidP="000B0554">
      <w:pPr>
        <w:jc w:val="both"/>
        <w:rPr>
          <w:rFonts w:ascii="Calibri" w:hAnsi="Calibri" w:cs="Calibri"/>
          <w:sz w:val="24"/>
          <w:szCs w:val="24"/>
        </w:rPr>
      </w:pPr>
      <w:r w:rsidRPr="00EB0998">
        <w:rPr>
          <w:rFonts w:ascii="Calibri" w:hAnsi="Calibri" w:cs="Calibri"/>
          <w:sz w:val="24"/>
          <w:szCs w:val="24"/>
        </w:rPr>
        <w:t>The Clinical Director provides strategic clinical leadership to support the development and delivery of the mentoring programme across London.</w:t>
      </w:r>
    </w:p>
    <w:p w14:paraId="73250DAC" w14:textId="77777777" w:rsidR="00EB0998" w:rsidRPr="00EB0998" w:rsidRDefault="00EB0998" w:rsidP="000B0554">
      <w:pPr>
        <w:jc w:val="both"/>
        <w:rPr>
          <w:rFonts w:ascii="Calibri" w:hAnsi="Calibri" w:cs="Calibri"/>
          <w:sz w:val="24"/>
          <w:szCs w:val="24"/>
        </w:rPr>
      </w:pPr>
      <w:r w:rsidRPr="00EB0998">
        <w:rPr>
          <w:rFonts w:ascii="Calibri" w:hAnsi="Calibri" w:cs="Calibri"/>
          <w:sz w:val="24"/>
          <w:szCs w:val="24"/>
        </w:rPr>
        <w:t>Working closely with the Programme Manager and Clinical Leads, the Clinical Director will help ensure that the programme maintains strong clinical engagement, supports safe and effective delivery, and continues to expand its reach so that more young people living with sickle cell disorder can benefit from peer mentoring.</w:t>
      </w:r>
    </w:p>
    <w:p w14:paraId="6F8A8468" w14:textId="77777777" w:rsidR="00EB0998" w:rsidRPr="00EB0998" w:rsidRDefault="00EB0998" w:rsidP="000B0554">
      <w:pPr>
        <w:jc w:val="both"/>
        <w:rPr>
          <w:rFonts w:ascii="Calibri" w:hAnsi="Calibri" w:cs="Calibri"/>
          <w:sz w:val="24"/>
          <w:szCs w:val="24"/>
        </w:rPr>
      </w:pPr>
      <w:r w:rsidRPr="00EB0998">
        <w:rPr>
          <w:rFonts w:ascii="Calibri" w:hAnsi="Calibri" w:cs="Calibri"/>
          <w:sz w:val="24"/>
          <w:szCs w:val="24"/>
        </w:rPr>
        <w:t xml:space="preserve">This role offers an opportunity to contribute to an </w:t>
      </w:r>
      <w:r w:rsidRPr="00EB0998">
        <w:rPr>
          <w:rFonts w:ascii="Calibri" w:hAnsi="Calibri" w:cs="Calibri"/>
          <w:b/>
          <w:bCs/>
          <w:sz w:val="24"/>
          <w:szCs w:val="24"/>
        </w:rPr>
        <w:t>innovative model of support that combines clinical insight with peer mentoring</w:t>
      </w:r>
      <w:r w:rsidRPr="00EB0998">
        <w:rPr>
          <w:rFonts w:ascii="Calibri" w:hAnsi="Calibri" w:cs="Calibri"/>
          <w:sz w:val="24"/>
          <w:szCs w:val="24"/>
        </w:rPr>
        <w:t>, helping young people navigate the transition from paediatric to adult healthcare services.</w:t>
      </w:r>
    </w:p>
    <w:p w14:paraId="4E3A67EE" w14:textId="30698C1C" w:rsidR="00EB0998" w:rsidRPr="00EB0998" w:rsidRDefault="00000000" w:rsidP="000B0554">
      <w:pPr>
        <w:jc w:val="both"/>
        <w:rPr>
          <w:rFonts w:ascii="Calibri" w:hAnsi="Calibri" w:cs="Calibri"/>
          <w:sz w:val="24"/>
          <w:szCs w:val="24"/>
        </w:rPr>
      </w:pPr>
      <w:r>
        <w:rPr>
          <w:rFonts w:ascii="Calibri" w:hAnsi="Calibri" w:cs="Calibri"/>
          <w:sz w:val="24"/>
          <w:szCs w:val="24"/>
        </w:rPr>
        <w:pict w14:anchorId="284D8330">
          <v:rect id="_x0000_i1025" style="width:0;height:1.5pt" o:hralign="center" o:hrstd="t" o:hr="t" fillcolor="#a0a0a0" stroked="f"/>
        </w:pict>
      </w:r>
    </w:p>
    <w:p w14:paraId="31B1EC74" w14:textId="77777777"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Reporting Structure</w:t>
      </w:r>
    </w:p>
    <w:p w14:paraId="11C8F390" w14:textId="77777777" w:rsidR="00EB0998" w:rsidRPr="00EB0998" w:rsidRDefault="00EB0998" w:rsidP="000B0554">
      <w:pPr>
        <w:rPr>
          <w:rFonts w:ascii="Calibri" w:hAnsi="Calibri" w:cs="Calibri"/>
          <w:sz w:val="24"/>
          <w:szCs w:val="24"/>
        </w:rPr>
      </w:pPr>
      <w:r w:rsidRPr="00EB0998">
        <w:rPr>
          <w:rFonts w:ascii="Calibri" w:hAnsi="Calibri" w:cs="Calibri"/>
          <w:b/>
          <w:bCs/>
          <w:sz w:val="24"/>
          <w:szCs w:val="24"/>
        </w:rPr>
        <w:t>Accountable to:</w:t>
      </w:r>
      <w:r w:rsidRPr="00EB0998">
        <w:rPr>
          <w:rFonts w:ascii="Calibri" w:hAnsi="Calibri" w:cs="Calibri"/>
          <w:sz w:val="24"/>
          <w:szCs w:val="24"/>
        </w:rPr>
        <w:br/>
        <w:t>CEO – Sickle Cell Society</w:t>
      </w:r>
    </w:p>
    <w:p w14:paraId="6534917C" w14:textId="77777777" w:rsidR="00EB0998" w:rsidRPr="00EB0998" w:rsidRDefault="00EB0998" w:rsidP="000B0554">
      <w:pPr>
        <w:rPr>
          <w:rFonts w:ascii="Calibri" w:hAnsi="Calibri" w:cs="Calibri"/>
          <w:sz w:val="24"/>
          <w:szCs w:val="24"/>
        </w:rPr>
      </w:pPr>
      <w:r w:rsidRPr="00EB0998">
        <w:rPr>
          <w:rFonts w:ascii="Calibri" w:hAnsi="Calibri" w:cs="Calibri"/>
          <w:b/>
          <w:bCs/>
          <w:sz w:val="24"/>
          <w:szCs w:val="24"/>
        </w:rPr>
        <w:t>Working closely with:</w:t>
      </w:r>
      <w:r w:rsidRPr="00EB0998">
        <w:rPr>
          <w:rFonts w:ascii="Calibri" w:hAnsi="Calibri" w:cs="Calibri"/>
          <w:sz w:val="24"/>
          <w:szCs w:val="24"/>
        </w:rPr>
        <w:br/>
        <w:t>Programme Manager – CYP Peer Mentoring Programme</w:t>
      </w:r>
      <w:r w:rsidRPr="00EB0998">
        <w:rPr>
          <w:rFonts w:ascii="Calibri" w:hAnsi="Calibri" w:cs="Calibri"/>
          <w:sz w:val="24"/>
          <w:szCs w:val="24"/>
        </w:rPr>
        <w:br/>
        <w:t>Regional Clinical Leads</w:t>
      </w:r>
      <w:r w:rsidRPr="00EB0998">
        <w:rPr>
          <w:rFonts w:ascii="Calibri" w:hAnsi="Calibri" w:cs="Calibri"/>
          <w:sz w:val="24"/>
          <w:szCs w:val="24"/>
        </w:rPr>
        <w:br/>
        <w:t>NHS clinicians and multidisciplinary teams</w:t>
      </w:r>
    </w:p>
    <w:p w14:paraId="2CBE2867"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40AEA1AD">
          <v:rect id="_x0000_i1026" style="width:0;height:1.5pt" o:hrstd="t" o:hr="t" fillcolor="#a0a0a0" stroked="f"/>
        </w:pict>
      </w:r>
    </w:p>
    <w:p w14:paraId="1620AF8B" w14:textId="77777777"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Time Commitment</w:t>
      </w:r>
    </w:p>
    <w:p w14:paraId="7EFB1CD7" w14:textId="58E8C7CA" w:rsidR="00EB0998" w:rsidRPr="00EB0998" w:rsidRDefault="00EB0998" w:rsidP="000B0554">
      <w:pPr>
        <w:rPr>
          <w:rFonts w:ascii="Calibri" w:hAnsi="Calibri" w:cs="Calibri"/>
          <w:sz w:val="24"/>
          <w:szCs w:val="24"/>
        </w:rPr>
      </w:pPr>
      <w:r w:rsidRPr="00EB0998">
        <w:rPr>
          <w:rFonts w:ascii="Calibri" w:hAnsi="Calibri" w:cs="Calibri"/>
          <w:sz w:val="24"/>
          <w:szCs w:val="24"/>
        </w:rPr>
        <w:t xml:space="preserve">Approximately </w:t>
      </w:r>
      <w:r w:rsidRPr="00EB0998">
        <w:rPr>
          <w:rFonts w:ascii="Calibri" w:hAnsi="Calibri" w:cs="Calibri"/>
          <w:b/>
          <w:bCs/>
          <w:sz w:val="24"/>
          <w:szCs w:val="24"/>
        </w:rPr>
        <w:t>1</w:t>
      </w:r>
      <w:r>
        <w:rPr>
          <w:rFonts w:ascii="Calibri" w:hAnsi="Calibri" w:cs="Calibri"/>
          <w:b/>
          <w:bCs/>
          <w:sz w:val="24"/>
          <w:szCs w:val="24"/>
        </w:rPr>
        <w:t>2</w:t>
      </w:r>
      <w:r w:rsidRPr="00EB0998">
        <w:rPr>
          <w:rFonts w:ascii="Calibri" w:hAnsi="Calibri" w:cs="Calibri"/>
          <w:b/>
          <w:bCs/>
          <w:sz w:val="24"/>
          <w:szCs w:val="24"/>
        </w:rPr>
        <w:t xml:space="preserve"> days per year</w:t>
      </w:r>
    </w:p>
    <w:p w14:paraId="028E70E6"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The role is flexible and designed to complement existing clinical responsibilities.</w:t>
      </w:r>
    </w:p>
    <w:p w14:paraId="2D8DE6B8"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067D5081">
          <v:rect id="_x0000_i1027" style="width:0;height:1.5pt" o:hrstd="t" o:hr="t" fillcolor="#a0a0a0" stroked="f"/>
        </w:pict>
      </w:r>
    </w:p>
    <w:p w14:paraId="37D8FF68" w14:textId="77777777"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Salary</w:t>
      </w:r>
    </w:p>
    <w:p w14:paraId="1ACB0C1B" w14:textId="6C8D8E25" w:rsidR="00EB0998" w:rsidRPr="00EB0998" w:rsidRDefault="00EB0998" w:rsidP="000B0554">
      <w:pPr>
        <w:rPr>
          <w:rFonts w:ascii="Calibri" w:hAnsi="Calibri" w:cs="Calibri"/>
          <w:sz w:val="24"/>
          <w:szCs w:val="24"/>
        </w:rPr>
      </w:pPr>
      <w:r w:rsidRPr="00EB0998">
        <w:rPr>
          <w:rFonts w:ascii="Calibri" w:hAnsi="Calibri" w:cs="Calibri"/>
          <w:sz w:val="24"/>
          <w:szCs w:val="24"/>
        </w:rPr>
        <w:t>£</w:t>
      </w:r>
      <w:r>
        <w:rPr>
          <w:rFonts w:ascii="Calibri" w:hAnsi="Calibri" w:cs="Calibri"/>
          <w:sz w:val="24"/>
          <w:szCs w:val="24"/>
        </w:rPr>
        <w:t>35</w:t>
      </w:r>
      <w:r w:rsidRPr="00EB0998">
        <w:rPr>
          <w:rFonts w:ascii="Calibri" w:hAnsi="Calibri" w:cs="Calibri"/>
          <w:sz w:val="24"/>
          <w:szCs w:val="24"/>
        </w:rPr>
        <w:t>0 per day (</w:t>
      </w:r>
      <w:r w:rsidR="00216F5A">
        <w:rPr>
          <w:rFonts w:ascii="Calibri" w:hAnsi="Calibri" w:cs="Calibri"/>
          <w:sz w:val="24"/>
          <w:szCs w:val="24"/>
        </w:rPr>
        <w:t>reviewed periodically</w:t>
      </w:r>
      <w:r w:rsidRPr="00EB0998">
        <w:rPr>
          <w:rFonts w:ascii="Calibri" w:hAnsi="Calibri" w:cs="Calibri"/>
          <w:sz w:val="24"/>
          <w:szCs w:val="24"/>
        </w:rPr>
        <w:t>)</w:t>
      </w:r>
    </w:p>
    <w:p w14:paraId="7A9C1AAF"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1086127F">
          <v:rect id="_x0000_i1028" style="width:0;height:1.5pt" o:hrstd="t" o:hr="t" fillcolor="#a0a0a0" stroked="f"/>
        </w:pict>
      </w:r>
    </w:p>
    <w:p w14:paraId="51B8923A" w14:textId="77777777"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Contract Length</w:t>
      </w:r>
    </w:p>
    <w:p w14:paraId="0A6C61E2" w14:textId="77777777" w:rsidR="00EB0998" w:rsidRDefault="00EB0998" w:rsidP="000B0554">
      <w:pPr>
        <w:rPr>
          <w:rFonts w:ascii="Calibri" w:hAnsi="Calibri" w:cs="Calibri"/>
          <w:sz w:val="24"/>
          <w:szCs w:val="24"/>
        </w:rPr>
      </w:pPr>
      <w:r w:rsidRPr="00EB0998">
        <w:rPr>
          <w:rFonts w:ascii="Calibri" w:hAnsi="Calibri" w:cs="Calibri"/>
          <w:sz w:val="24"/>
          <w:szCs w:val="24"/>
        </w:rPr>
        <w:t xml:space="preserve">Fixed term – </w:t>
      </w:r>
      <w:r w:rsidRPr="00EB0998">
        <w:rPr>
          <w:rFonts w:ascii="Calibri" w:hAnsi="Calibri" w:cs="Calibri"/>
          <w:b/>
          <w:bCs/>
          <w:sz w:val="24"/>
          <w:szCs w:val="24"/>
        </w:rPr>
        <w:t>24 months</w:t>
      </w:r>
      <w:r w:rsidRPr="00EB0998">
        <w:rPr>
          <w:rFonts w:ascii="Calibri" w:hAnsi="Calibri" w:cs="Calibri"/>
          <w:sz w:val="24"/>
          <w:szCs w:val="24"/>
        </w:rPr>
        <w:br/>
        <w:t>Continuation subject to programme funding.</w:t>
      </w:r>
    </w:p>
    <w:p w14:paraId="15E70D21" w14:textId="57F5C3FB" w:rsidR="00EB0998" w:rsidRPr="00EB0998" w:rsidRDefault="00EB0998" w:rsidP="000B0554">
      <w:pPr>
        <w:rPr>
          <w:rFonts w:ascii="Calibri" w:hAnsi="Calibri" w:cs="Calibri"/>
          <w:sz w:val="24"/>
          <w:szCs w:val="24"/>
        </w:rPr>
      </w:pPr>
      <w:r w:rsidRPr="00EB0998">
        <w:rPr>
          <w:rFonts w:ascii="Calibri" w:hAnsi="Calibri" w:cs="Calibri"/>
          <w:b/>
          <w:bCs/>
          <w:sz w:val="24"/>
          <w:szCs w:val="24"/>
        </w:rPr>
        <w:lastRenderedPageBreak/>
        <w:t>Purpose of the Role:</w:t>
      </w:r>
    </w:p>
    <w:p w14:paraId="5BEF5CD0"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The Clinical Director will provide clinical oversight and strategic guidance for the Children and Young People’s Peer Mentoring Programme.</w:t>
      </w:r>
    </w:p>
    <w:p w14:paraId="08C88FC0"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The role focuses on supporting high quality programme delivery, strengthening clinical partnerships and helping ensure strong referral pathways so that eligible young people across London are aware of and able to access mentoring support.</w:t>
      </w:r>
    </w:p>
    <w:p w14:paraId="113F79B7"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The Clinical Director will also support the programme’s contribution to improving healthcare transition experiences for young people moving from paediatric to adult services.</w:t>
      </w:r>
    </w:p>
    <w:p w14:paraId="4B2D2777"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118AA0B7">
          <v:rect id="_x0000_i1029" style="width:0;height:1.5pt" o:hrstd="t" o:hr="t" fillcolor="#a0a0a0" stroked="f"/>
        </w:pict>
      </w:r>
    </w:p>
    <w:p w14:paraId="1E4FCCBC" w14:textId="70ABD2DA"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Key Responsibilities:</w:t>
      </w:r>
    </w:p>
    <w:p w14:paraId="766E0D3A"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Provide strategic clinical oversight for the peer mentoring programme</w:t>
      </w:r>
    </w:p>
    <w:p w14:paraId="76FE6E77"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Support and advise regional Clinical Leads</w:t>
      </w:r>
    </w:p>
    <w:p w14:paraId="19E0C9F0"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Strengthen engagement between NHS services and the mentoring programme</w:t>
      </w:r>
    </w:p>
    <w:p w14:paraId="5FAFB5A8"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Support development of referral pathways into the programme</w:t>
      </w:r>
    </w:p>
    <w:p w14:paraId="72D8D415"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Provide guidance on safeguarding, governance and clinical risk</w:t>
      </w:r>
    </w:p>
    <w:p w14:paraId="034D129C"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Contribute to programme evaluation and service improvement</w:t>
      </w:r>
    </w:p>
    <w:p w14:paraId="3ECF8A38"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Promote awareness of the programme across clinical networks</w:t>
      </w:r>
    </w:p>
    <w:p w14:paraId="3AF64BE1"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Champion peer mentoring as a complementary support to clinical care</w:t>
      </w:r>
    </w:p>
    <w:p w14:paraId="15C9D6CD"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Support collaboration between paediatric and adult services to improve transition outcomes</w:t>
      </w:r>
    </w:p>
    <w:p w14:paraId="7B4224B3"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0E443D7D">
          <v:rect id="_x0000_i1030" style="width:0;height:1.5pt" o:hrstd="t" o:hr="t" fillcolor="#a0a0a0" stroked="f"/>
        </w:pict>
      </w:r>
    </w:p>
    <w:p w14:paraId="3386EA01" w14:textId="0AC4D782"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Opportunity to Shape the Programme:</w:t>
      </w:r>
    </w:p>
    <w:p w14:paraId="59CBEF52"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The Sickle Cell Society welcomes applicants who are interested in contributing ideas to the continued development of the mentoring programme.</w:t>
      </w:r>
    </w:p>
    <w:p w14:paraId="7FA8F726"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The Clinical Director will have the opportunity to help shape the programme’s future direction, particularly in strengthening clinical engagement and ensuring more young people benefit from peer mentoring support.</w:t>
      </w:r>
    </w:p>
    <w:p w14:paraId="101E6F42"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We are particularly interested in hearing from clinicians who are passionate about:</w:t>
      </w:r>
    </w:p>
    <w:p w14:paraId="7A9EF397"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adolescent health and healthcare transition</w:t>
      </w:r>
      <w:r w:rsidRPr="00EB0998">
        <w:rPr>
          <w:rFonts w:ascii="Calibri" w:hAnsi="Calibri" w:cs="Calibri"/>
          <w:sz w:val="24"/>
          <w:szCs w:val="24"/>
        </w:rPr>
        <w:br/>
        <w:t>• service development and innovation</w:t>
      </w:r>
      <w:r w:rsidRPr="00EB0998">
        <w:rPr>
          <w:rFonts w:ascii="Calibri" w:hAnsi="Calibri" w:cs="Calibri"/>
          <w:sz w:val="24"/>
          <w:szCs w:val="24"/>
        </w:rPr>
        <w:br/>
        <w:t>• reducing health inequalities</w:t>
      </w:r>
      <w:r w:rsidRPr="00EB0998">
        <w:rPr>
          <w:rFonts w:ascii="Calibri" w:hAnsi="Calibri" w:cs="Calibri"/>
          <w:sz w:val="24"/>
          <w:szCs w:val="24"/>
        </w:rPr>
        <w:br/>
        <w:t>• strengthening partnerships between healthcare services and community organisations</w:t>
      </w:r>
    </w:p>
    <w:p w14:paraId="3EF3E609"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6AF7A6F2">
          <v:rect id="_x0000_i1031" style="width:0;height:1.5pt" o:hrstd="t" o:hr="t" fillcolor="#a0a0a0" stroked="f"/>
        </w:pict>
      </w:r>
    </w:p>
    <w:p w14:paraId="2DCCBC9D" w14:textId="3C8C3ADE" w:rsidR="00EB0998" w:rsidRPr="00EB0998" w:rsidRDefault="00EB0998" w:rsidP="000B0554">
      <w:pPr>
        <w:rPr>
          <w:rFonts w:ascii="Calibri" w:hAnsi="Calibri" w:cs="Calibri"/>
          <w:b/>
          <w:bCs/>
          <w:sz w:val="24"/>
          <w:szCs w:val="24"/>
        </w:rPr>
      </w:pPr>
      <w:r w:rsidRPr="00EB0998">
        <w:rPr>
          <w:rFonts w:ascii="Calibri" w:hAnsi="Calibri" w:cs="Calibri"/>
          <w:b/>
          <w:bCs/>
          <w:sz w:val="24"/>
          <w:szCs w:val="24"/>
        </w:rPr>
        <w:lastRenderedPageBreak/>
        <w:t>Person Specification:</w:t>
      </w:r>
    </w:p>
    <w:p w14:paraId="226CA89B" w14:textId="77777777"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Essential</w:t>
      </w:r>
    </w:p>
    <w:p w14:paraId="3D8D066B"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xml:space="preserve">• Senior clinician registered with the </w:t>
      </w:r>
      <w:r w:rsidRPr="00EB0998">
        <w:rPr>
          <w:rFonts w:ascii="Calibri" w:hAnsi="Calibri" w:cs="Calibri"/>
          <w:b/>
          <w:bCs/>
          <w:sz w:val="24"/>
          <w:szCs w:val="24"/>
        </w:rPr>
        <w:t>GMC or NMC</w:t>
      </w:r>
    </w:p>
    <w:p w14:paraId="663C14FB"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Significant experience working with children, adolescents or young adults living with sickle cell disorder</w:t>
      </w:r>
    </w:p>
    <w:p w14:paraId="29FDC06B"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Demonstrated leadership experience within clinical services</w:t>
      </w:r>
    </w:p>
    <w:p w14:paraId="06CB9D8B"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Experience working across multidisciplinary teams</w:t>
      </w:r>
    </w:p>
    <w:p w14:paraId="4C679AB6"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Excellent communication and organisational skills</w:t>
      </w:r>
    </w:p>
    <w:p w14:paraId="3DA72151"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Commitment to improving outcomes for young people living with long-term conditions</w:t>
      </w:r>
    </w:p>
    <w:p w14:paraId="4FB5FB2A" w14:textId="77777777" w:rsidR="00EB0998" w:rsidRPr="00EB0998" w:rsidRDefault="00000000" w:rsidP="000B0554">
      <w:pPr>
        <w:rPr>
          <w:rFonts w:ascii="Calibri" w:hAnsi="Calibri" w:cs="Calibri"/>
          <w:sz w:val="24"/>
          <w:szCs w:val="24"/>
        </w:rPr>
      </w:pPr>
      <w:r>
        <w:rPr>
          <w:rFonts w:ascii="Calibri" w:hAnsi="Calibri" w:cs="Calibri"/>
          <w:sz w:val="24"/>
          <w:szCs w:val="24"/>
        </w:rPr>
        <w:pict w14:anchorId="39CC7725">
          <v:rect id="_x0000_i1032" style="width:0;height:1.5pt" o:hrstd="t" o:hr="t" fillcolor="#a0a0a0" stroked="f"/>
        </w:pict>
      </w:r>
    </w:p>
    <w:p w14:paraId="137152D3" w14:textId="77777777" w:rsidR="00EB0998" w:rsidRPr="00EB0998" w:rsidRDefault="00EB0998" w:rsidP="000B0554">
      <w:pPr>
        <w:rPr>
          <w:rFonts w:ascii="Calibri" w:hAnsi="Calibri" w:cs="Calibri"/>
          <w:b/>
          <w:bCs/>
          <w:sz w:val="24"/>
          <w:szCs w:val="24"/>
        </w:rPr>
      </w:pPr>
      <w:r w:rsidRPr="00EB0998">
        <w:rPr>
          <w:rFonts w:ascii="Calibri" w:hAnsi="Calibri" w:cs="Calibri"/>
          <w:b/>
          <w:bCs/>
          <w:sz w:val="24"/>
          <w:szCs w:val="24"/>
        </w:rPr>
        <w:t>Desirable</w:t>
      </w:r>
    </w:p>
    <w:p w14:paraId="7D8336F3"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Experience supporting transition services</w:t>
      </w:r>
    </w:p>
    <w:p w14:paraId="2DE0015D"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Experience of service development or quality improvement</w:t>
      </w:r>
    </w:p>
    <w:p w14:paraId="05A114A5"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Experience working with voluntary or community organisations</w:t>
      </w:r>
    </w:p>
    <w:p w14:paraId="0FA1B8D7"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Experience working within diverse or multicultural communities</w:t>
      </w:r>
    </w:p>
    <w:p w14:paraId="4A3CBABD" w14:textId="77777777" w:rsidR="00EB0998" w:rsidRPr="00EB0998" w:rsidRDefault="00EB0998" w:rsidP="000B0554">
      <w:pPr>
        <w:rPr>
          <w:rFonts w:ascii="Calibri" w:hAnsi="Calibri" w:cs="Calibri"/>
          <w:sz w:val="24"/>
          <w:szCs w:val="24"/>
        </w:rPr>
      </w:pPr>
      <w:r w:rsidRPr="00EB0998">
        <w:rPr>
          <w:rFonts w:ascii="Calibri" w:hAnsi="Calibri" w:cs="Calibri"/>
          <w:sz w:val="24"/>
          <w:szCs w:val="24"/>
        </w:rPr>
        <w:t>• Leadership or management qualification</w:t>
      </w:r>
    </w:p>
    <w:p w14:paraId="0F60A064" w14:textId="153152A1" w:rsidR="00FD248B" w:rsidRDefault="00FD248B" w:rsidP="000B0554"/>
    <w:p w14:paraId="59081339" w14:textId="77777777" w:rsidR="0044717E" w:rsidRPr="0044717E" w:rsidRDefault="0044717E" w:rsidP="0044717E">
      <w:r w:rsidRPr="0044717E">
        <w:rPr>
          <w:b/>
          <w:bCs/>
        </w:rPr>
        <w:t>How to Apply</w:t>
      </w:r>
    </w:p>
    <w:p w14:paraId="25D65F8E" w14:textId="77777777" w:rsidR="0044717E" w:rsidRPr="0044717E" w:rsidRDefault="0044717E" w:rsidP="0044717E">
      <w:r w:rsidRPr="0044717E">
        <w:t>Please complete the Application Form and send it to:</w:t>
      </w:r>
    </w:p>
    <w:p w14:paraId="2C1C8901" w14:textId="77777777" w:rsidR="0044717E" w:rsidRPr="0044717E" w:rsidRDefault="0044717E" w:rsidP="0044717E">
      <w:hyperlink r:id="rId5" w:history="1">
        <w:r w:rsidRPr="0044717E">
          <w:rPr>
            <w:rStyle w:val="Hyperlink"/>
          </w:rPr>
          <w:t>mentors@sicklecellsociety.org</w:t>
        </w:r>
      </w:hyperlink>
    </w:p>
    <w:p w14:paraId="5DC0AA9A" w14:textId="77777777" w:rsidR="0044717E" w:rsidRPr="0044717E" w:rsidRDefault="0044717E" w:rsidP="0044717E">
      <w:r w:rsidRPr="0044717E">
        <w:t>Applicants must reside in the UK.</w:t>
      </w:r>
    </w:p>
    <w:p w14:paraId="435DBB79" w14:textId="5A4578C9" w:rsidR="0044717E" w:rsidRPr="0044717E" w:rsidRDefault="0044717E" w:rsidP="0044717E">
      <w:r w:rsidRPr="0044717E">
        <w:t>Closing date: 2</w:t>
      </w:r>
      <w:r>
        <w:t>8</w:t>
      </w:r>
      <w:r w:rsidRPr="0044717E">
        <w:t>th April 2026</w:t>
      </w:r>
      <w:r w:rsidRPr="0044717E">
        <w:br/>
        <w:t>Interview date: via Zoom or Microsoft Teams w/c TBD</w:t>
      </w:r>
    </w:p>
    <w:p w14:paraId="7DEDEF83" w14:textId="77777777" w:rsidR="0044717E" w:rsidRPr="0044717E" w:rsidRDefault="0044717E" w:rsidP="0044717E">
      <w:r w:rsidRPr="0044717E">
        <w:rPr>
          <w:b/>
          <w:bCs/>
        </w:rPr>
        <w:t>Additional Notes:</w:t>
      </w:r>
    </w:p>
    <w:p w14:paraId="2C0A7DA3" w14:textId="77777777" w:rsidR="0044717E" w:rsidRPr="0044717E" w:rsidRDefault="0044717E" w:rsidP="0044717E">
      <w:pPr>
        <w:numPr>
          <w:ilvl w:val="0"/>
          <w:numId w:val="3"/>
        </w:numPr>
      </w:pPr>
      <w:r w:rsidRPr="0044717E">
        <w:t>Please make sure that you demonstrate how you are suitable for this role in your application by referring to the person specification.</w:t>
      </w:r>
    </w:p>
    <w:p w14:paraId="2982923C" w14:textId="77777777" w:rsidR="0044717E" w:rsidRPr="0044717E" w:rsidRDefault="0044717E" w:rsidP="0044717E">
      <w:pPr>
        <w:numPr>
          <w:ilvl w:val="0"/>
          <w:numId w:val="3"/>
        </w:numPr>
      </w:pPr>
      <w:r w:rsidRPr="0044717E">
        <w:t>Please note that we do not accept CVs and all applicants must reside in the UK.</w:t>
      </w:r>
    </w:p>
    <w:p w14:paraId="2256FF91" w14:textId="02BDD672" w:rsidR="0044717E" w:rsidRDefault="0044717E" w:rsidP="000B0554">
      <w:pPr>
        <w:numPr>
          <w:ilvl w:val="0"/>
          <w:numId w:val="3"/>
        </w:numPr>
      </w:pPr>
      <w:r w:rsidRPr="0044717E">
        <w:t>This post will require a Disclosure and Barring Service (DBS) check at Enhanced Level.</w:t>
      </w:r>
    </w:p>
    <w:sectPr w:rsidR="00447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6091"/>
    <w:multiLevelType w:val="multilevel"/>
    <w:tmpl w:val="C14A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70343"/>
    <w:multiLevelType w:val="multilevel"/>
    <w:tmpl w:val="C6C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725BF"/>
    <w:multiLevelType w:val="multilevel"/>
    <w:tmpl w:val="7164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85090">
    <w:abstractNumId w:val="2"/>
  </w:num>
  <w:num w:numId="2" w16cid:durableId="1415591572">
    <w:abstractNumId w:val="0"/>
  </w:num>
  <w:num w:numId="3" w16cid:durableId="35693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98"/>
    <w:rsid w:val="000B0554"/>
    <w:rsid w:val="000E17E4"/>
    <w:rsid w:val="00216F5A"/>
    <w:rsid w:val="0029674D"/>
    <w:rsid w:val="002C5387"/>
    <w:rsid w:val="0044717E"/>
    <w:rsid w:val="00666A20"/>
    <w:rsid w:val="008960DD"/>
    <w:rsid w:val="00A76A23"/>
    <w:rsid w:val="00EB0998"/>
    <w:rsid w:val="00ED6F24"/>
    <w:rsid w:val="00F07658"/>
    <w:rsid w:val="00F11BB9"/>
    <w:rsid w:val="00FD248B"/>
    <w:rsid w:val="00FE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F8FB"/>
  <w15:chartTrackingRefBased/>
  <w15:docId w15:val="{89B7212F-B993-4CC9-830F-5883DED9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998"/>
    <w:rPr>
      <w:rFonts w:eastAsiaTheme="majorEastAsia" w:cstheme="majorBidi"/>
      <w:color w:val="272727" w:themeColor="text1" w:themeTint="D8"/>
    </w:rPr>
  </w:style>
  <w:style w:type="paragraph" w:styleId="Title">
    <w:name w:val="Title"/>
    <w:basedOn w:val="Normal"/>
    <w:next w:val="Normal"/>
    <w:link w:val="TitleChar"/>
    <w:uiPriority w:val="10"/>
    <w:qFormat/>
    <w:rsid w:val="00EB0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998"/>
    <w:pPr>
      <w:spacing w:before="160"/>
      <w:jc w:val="center"/>
    </w:pPr>
    <w:rPr>
      <w:i/>
      <w:iCs/>
      <w:color w:val="404040" w:themeColor="text1" w:themeTint="BF"/>
    </w:rPr>
  </w:style>
  <w:style w:type="character" w:customStyle="1" w:styleId="QuoteChar">
    <w:name w:val="Quote Char"/>
    <w:basedOn w:val="DefaultParagraphFont"/>
    <w:link w:val="Quote"/>
    <w:uiPriority w:val="29"/>
    <w:rsid w:val="00EB0998"/>
    <w:rPr>
      <w:i/>
      <w:iCs/>
      <w:color w:val="404040" w:themeColor="text1" w:themeTint="BF"/>
    </w:rPr>
  </w:style>
  <w:style w:type="paragraph" w:styleId="ListParagraph">
    <w:name w:val="List Paragraph"/>
    <w:basedOn w:val="Normal"/>
    <w:uiPriority w:val="34"/>
    <w:qFormat/>
    <w:rsid w:val="00EB0998"/>
    <w:pPr>
      <w:ind w:left="720"/>
      <w:contextualSpacing/>
    </w:pPr>
  </w:style>
  <w:style w:type="character" w:styleId="IntenseEmphasis">
    <w:name w:val="Intense Emphasis"/>
    <w:basedOn w:val="DefaultParagraphFont"/>
    <w:uiPriority w:val="21"/>
    <w:qFormat/>
    <w:rsid w:val="00EB0998"/>
    <w:rPr>
      <w:i/>
      <w:iCs/>
      <w:color w:val="0F4761" w:themeColor="accent1" w:themeShade="BF"/>
    </w:rPr>
  </w:style>
  <w:style w:type="paragraph" w:styleId="IntenseQuote">
    <w:name w:val="Intense Quote"/>
    <w:basedOn w:val="Normal"/>
    <w:next w:val="Normal"/>
    <w:link w:val="IntenseQuoteChar"/>
    <w:uiPriority w:val="30"/>
    <w:qFormat/>
    <w:rsid w:val="00EB0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998"/>
    <w:rPr>
      <w:i/>
      <w:iCs/>
      <w:color w:val="0F4761" w:themeColor="accent1" w:themeShade="BF"/>
    </w:rPr>
  </w:style>
  <w:style w:type="character" w:styleId="IntenseReference">
    <w:name w:val="Intense Reference"/>
    <w:basedOn w:val="DefaultParagraphFont"/>
    <w:uiPriority w:val="32"/>
    <w:qFormat/>
    <w:rsid w:val="00EB0998"/>
    <w:rPr>
      <w:b/>
      <w:bCs/>
      <w:smallCaps/>
      <w:color w:val="0F4761" w:themeColor="accent1" w:themeShade="BF"/>
      <w:spacing w:val="5"/>
    </w:rPr>
  </w:style>
  <w:style w:type="character" w:styleId="Hyperlink">
    <w:name w:val="Hyperlink"/>
    <w:basedOn w:val="DefaultParagraphFont"/>
    <w:uiPriority w:val="99"/>
    <w:unhideWhenUsed/>
    <w:rsid w:val="0044717E"/>
    <w:rPr>
      <w:color w:val="467886" w:themeColor="hyperlink"/>
      <w:u w:val="single"/>
    </w:rPr>
  </w:style>
  <w:style w:type="character" w:styleId="UnresolvedMention">
    <w:name w:val="Unresolved Mention"/>
    <w:basedOn w:val="DefaultParagraphFont"/>
    <w:uiPriority w:val="99"/>
    <w:semiHidden/>
    <w:unhideWhenUsed/>
    <w:rsid w:val="0044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ntors@sicklecellsocie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Addassa Follett</dc:creator>
  <cp:keywords/>
  <dc:description/>
  <cp:lastModifiedBy>Rachel Simpson</cp:lastModifiedBy>
  <cp:revision>6</cp:revision>
  <dcterms:created xsi:type="dcterms:W3CDTF">2026-03-04T13:04:00Z</dcterms:created>
  <dcterms:modified xsi:type="dcterms:W3CDTF">2026-03-23T13:00:00Z</dcterms:modified>
</cp:coreProperties>
</file>